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A5288" w14:textId="2996713D" w:rsidR="00503514" w:rsidRPr="005208BF" w:rsidRDefault="00503514" w:rsidP="00D513ED">
      <w:pPr>
        <w:pStyle w:val="Citationintense"/>
        <w:rPr>
          <w:rFonts w:ascii="Antique Olive Roman" w:hAnsi="Antique Olive Roman"/>
          <w:b/>
          <w:bCs/>
          <w:i w:val="0"/>
          <w:iCs w:val="0"/>
          <w:color w:val="4472C4" w:themeColor="accent1"/>
          <w:sz w:val="52"/>
          <w:szCs w:val="52"/>
        </w:rPr>
      </w:pPr>
      <w:r w:rsidRPr="005208BF">
        <w:rPr>
          <w:rFonts w:ascii="Antique Olive Roman" w:hAnsi="Antique Olive Roman"/>
          <w:b/>
          <w:bCs/>
          <w:i w:val="0"/>
          <w:iCs w:val="0"/>
          <w:color w:val="4472C4" w:themeColor="accent1"/>
          <w:sz w:val="52"/>
          <w:szCs w:val="52"/>
        </w:rPr>
        <w:t xml:space="preserve">Modernisation énergétique </w:t>
      </w:r>
      <w:r w:rsidR="005208BF" w:rsidRPr="005208BF">
        <w:rPr>
          <w:rFonts w:ascii="Antique Olive Roman" w:hAnsi="Antique Olive Roman"/>
          <w:b/>
          <w:bCs/>
          <w:i w:val="0"/>
          <w:iCs w:val="0"/>
          <w:color w:val="4472C4" w:themeColor="accent1"/>
          <w:sz w:val="52"/>
          <w:szCs w:val="52"/>
        </w:rPr>
        <w:br/>
      </w:r>
      <w:r w:rsidRPr="005208BF">
        <w:rPr>
          <w:rFonts w:ascii="Antique Olive Roman" w:hAnsi="Antique Olive Roman"/>
          <w:b/>
          <w:bCs/>
          <w:i w:val="0"/>
          <w:iCs w:val="0"/>
          <w:color w:val="4472C4" w:themeColor="accent1"/>
          <w:sz w:val="52"/>
          <w:szCs w:val="52"/>
        </w:rPr>
        <w:t>Saint-Laurent-de-Brèvedent</w:t>
      </w:r>
    </w:p>
    <w:p w14:paraId="2B2EA8E8" w14:textId="28201DAE" w:rsidR="00503514" w:rsidRPr="005208BF" w:rsidRDefault="00503514" w:rsidP="00D513ED">
      <w:pPr>
        <w:pStyle w:val="Citationintense"/>
        <w:rPr>
          <w:rFonts w:ascii="Antique Olive Roman" w:hAnsi="Antique Olive Roman"/>
          <w:b/>
          <w:bCs/>
          <w:i w:val="0"/>
          <w:iCs w:val="0"/>
          <w:color w:val="4472C4" w:themeColor="accent1"/>
          <w:sz w:val="48"/>
          <w:szCs w:val="48"/>
        </w:rPr>
      </w:pPr>
      <w:r w:rsidRPr="005208BF">
        <w:rPr>
          <w:rFonts w:ascii="Antique Olive Roman" w:hAnsi="Antique Olive Roman"/>
          <w:b/>
          <w:bCs/>
          <w:i w:val="0"/>
          <w:iCs w:val="0"/>
          <w:color w:val="4472C4" w:themeColor="accent1"/>
          <w:sz w:val="48"/>
          <w:szCs w:val="48"/>
        </w:rPr>
        <w:t xml:space="preserve">Installation d’une pompe à chaleur </w:t>
      </w:r>
    </w:p>
    <w:p w14:paraId="254AE300" w14:textId="7DC4EDA4" w:rsidR="00503514" w:rsidRPr="006920A8" w:rsidRDefault="00503514" w:rsidP="00D513ED">
      <w:pPr>
        <w:jc w:val="center"/>
        <w:rPr>
          <w:sz w:val="48"/>
          <w:szCs w:val="48"/>
        </w:rPr>
      </w:pPr>
      <w:r w:rsidRPr="006920A8">
        <w:rPr>
          <w:noProof/>
          <w:sz w:val="48"/>
          <w:szCs w:val="48"/>
        </w:rPr>
        <w:drawing>
          <wp:inline distT="0" distB="0" distL="0" distR="0" wp14:anchorId="027CC304" wp14:editId="580DE7CD">
            <wp:extent cx="606056" cy="606056"/>
            <wp:effectExtent l="0" t="0" r="3810" b="0"/>
            <wp:docPr id="1332919419" name="Graphique 3" descr="Main ouverte avec une plant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19419" name="Graphique 1332919419" descr="Main ouverte avec une plante avec un remplissage uni"/>
                    <pic:cNvPicPr/>
                  </pic:nvPicPr>
                  <pic:blipFill>
                    <a:blip r:embed="rId5">
                      <a:extLst>
                        <a:ext uri="{96DAC541-7B7A-43D3-8B79-37D633B846F1}">
                          <asvg:svgBlip xmlns:asvg="http://schemas.microsoft.com/office/drawing/2016/SVG/main" r:embed="rId6"/>
                        </a:ext>
                      </a:extLst>
                    </a:blip>
                    <a:stretch>
                      <a:fillRect/>
                    </a:stretch>
                  </pic:blipFill>
                  <pic:spPr>
                    <a:xfrm>
                      <a:off x="0" y="0"/>
                      <a:ext cx="607982" cy="607982"/>
                    </a:xfrm>
                    <a:prstGeom prst="rect">
                      <a:avLst/>
                    </a:prstGeom>
                  </pic:spPr>
                </pic:pic>
              </a:graphicData>
            </a:graphic>
          </wp:inline>
        </w:drawing>
      </w:r>
      <w:r w:rsidRPr="006920A8">
        <w:rPr>
          <w:rFonts w:ascii="Albertus Extra Bold" w:hAnsi="Albertus Extra Bold"/>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Objectif du projet :</w:t>
      </w:r>
    </w:p>
    <w:p w14:paraId="363ED691" w14:textId="77777777" w:rsidR="00503514" w:rsidRPr="006920A8" w:rsidRDefault="00503514" w:rsidP="00503514">
      <w:pPr>
        <w:jc w:val="both"/>
        <w:rPr>
          <w:sz w:val="48"/>
          <w:szCs w:val="48"/>
        </w:rPr>
      </w:pPr>
      <w:r w:rsidRPr="006920A8">
        <w:rPr>
          <w:sz w:val="48"/>
          <w:szCs w:val="48"/>
        </w:rPr>
        <w:t xml:space="preserve">L’installation de cette nouvelle pompe à chaleur vise à réduire les émissions de CO2 et améliorer la performance énergétique d’un bâtiment communal tel que le gymnase. La chaleur du sol est une ressource écologique. La géothermie fait partie des solutions pour l’utilisation d’une énergie renouvelable. Ses émissions de CO2 sont minimes, contribuant ainsi à la lutte contre le réchauffement climatique. De plus, cette solution offre des économies substantielles sur les factures d’énergie. </w:t>
      </w:r>
    </w:p>
    <w:p w14:paraId="3F2FF5CA" w14:textId="77777777" w:rsidR="00503514" w:rsidRPr="005208BF" w:rsidRDefault="00503514" w:rsidP="00503514">
      <w:pPr>
        <w:jc w:val="both"/>
        <w:rPr>
          <w:sz w:val="36"/>
          <w:szCs w:val="36"/>
        </w:rPr>
      </w:pPr>
    </w:p>
    <w:p w14:paraId="730C7977" w14:textId="1C6D45B3" w:rsidR="00503514" w:rsidRPr="005208BF" w:rsidRDefault="00503514" w:rsidP="00D513ED">
      <w:pPr>
        <w:jc w:val="center"/>
        <w:rPr>
          <w:rFonts w:ascii="Albertus Extra Bold" w:hAnsi="Albertus Extra Bold"/>
          <w:b/>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208BF">
        <w:rPr>
          <w:noProof/>
          <w:sz w:val="44"/>
          <w:szCs w:val="44"/>
        </w:rPr>
        <w:drawing>
          <wp:inline distT="0" distB="0" distL="0" distR="0" wp14:anchorId="7BA0E6EC" wp14:editId="74C03EC2">
            <wp:extent cx="712382" cy="712382"/>
            <wp:effectExtent l="0" t="0" r="0" b="0"/>
            <wp:docPr id="1002818103" name="Graphique 1" descr="Pièc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18103" name="Graphique 1002818103" descr="Pièces avec un remplissage uni"/>
                    <pic:cNvPicPr/>
                  </pic:nvPicPr>
                  <pic:blipFill>
                    <a:blip r:embed="rId7">
                      <a:extLst>
                        <a:ext uri="{96DAC541-7B7A-43D3-8B79-37D633B846F1}">
                          <asvg:svgBlip xmlns:asvg="http://schemas.microsoft.com/office/drawing/2016/SVG/main" r:embed="rId8"/>
                        </a:ext>
                      </a:extLst>
                    </a:blip>
                    <a:stretch>
                      <a:fillRect/>
                    </a:stretch>
                  </pic:blipFill>
                  <pic:spPr>
                    <a:xfrm>
                      <a:off x="0" y="0"/>
                      <a:ext cx="714467" cy="714467"/>
                    </a:xfrm>
                    <a:prstGeom prst="rect">
                      <a:avLst/>
                    </a:prstGeom>
                  </pic:spPr>
                </pic:pic>
              </a:graphicData>
            </a:graphic>
          </wp:inline>
        </w:drawing>
      </w:r>
      <w:r w:rsidR="00D513ED" w:rsidRPr="005208BF">
        <w:rPr>
          <w:rFonts w:ascii="Albertus Extra Bold" w:hAnsi="Albertus Extra Bold"/>
          <w:b/>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PLAN DE FINANCEMENT DU PROJET</w:t>
      </w:r>
      <w:r w:rsidR="00D513ED" w:rsidRPr="005208BF">
        <w:rPr>
          <w:noProof/>
          <w:sz w:val="44"/>
          <w:szCs w:val="44"/>
        </w:rPr>
        <w:drawing>
          <wp:inline distT="0" distB="0" distL="0" distR="0" wp14:anchorId="588C803A" wp14:editId="32F86199">
            <wp:extent cx="563526" cy="563526"/>
            <wp:effectExtent l="0" t="0" r="8255" b="0"/>
            <wp:docPr id="135835563" name="Graphique 4" descr="Graphique en secteur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5563" name="Graphique 135835563" descr="Graphique en secteurs avec un remplissage uni"/>
                    <pic:cNvPicPr/>
                  </pic:nvPicPr>
                  <pic:blipFill>
                    <a:blip r:embed="rId9">
                      <a:extLst>
                        <a:ext uri="{96DAC541-7B7A-43D3-8B79-37D633B846F1}">
                          <asvg:svgBlip xmlns:asvg="http://schemas.microsoft.com/office/drawing/2016/SVG/main" r:embed="rId10"/>
                        </a:ext>
                      </a:extLst>
                    </a:blip>
                    <a:stretch>
                      <a:fillRect/>
                    </a:stretch>
                  </pic:blipFill>
                  <pic:spPr>
                    <a:xfrm>
                      <a:off x="0" y="0"/>
                      <a:ext cx="565321" cy="565321"/>
                    </a:xfrm>
                    <a:prstGeom prst="rect">
                      <a:avLst/>
                    </a:prstGeom>
                  </pic:spPr>
                </pic:pic>
              </a:graphicData>
            </a:graphic>
          </wp:inline>
        </w:drawing>
      </w:r>
    </w:p>
    <w:tbl>
      <w:tblPr>
        <w:tblStyle w:val="Grilledutableau"/>
        <w:tblW w:w="14238" w:type="dxa"/>
        <w:jc w:val="center"/>
        <w:tblLook w:val="04A0" w:firstRow="1" w:lastRow="0" w:firstColumn="1" w:lastColumn="0" w:noHBand="0" w:noVBand="1"/>
      </w:tblPr>
      <w:tblGrid>
        <w:gridCol w:w="7119"/>
        <w:gridCol w:w="7119"/>
      </w:tblGrid>
      <w:tr w:rsidR="00D513ED" w:rsidRPr="005208BF" w14:paraId="0F848EE3" w14:textId="77777777" w:rsidTr="007F61E6">
        <w:trPr>
          <w:trHeight w:val="2848"/>
          <w:jc w:val="center"/>
        </w:trPr>
        <w:tc>
          <w:tcPr>
            <w:tcW w:w="7119" w:type="dxa"/>
          </w:tcPr>
          <w:p w14:paraId="004DAA44" w14:textId="77777777" w:rsidR="004B53D1" w:rsidRPr="002D6BC2" w:rsidRDefault="004B53D1" w:rsidP="00D513ED">
            <w:pPr>
              <w:jc w:val="center"/>
              <w:rPr>
                <w:sz w:val="48"/>
                <w:szCs w:val="48"/>
              </w:rPr>
            </w:pPr>
          </w:p>
          <w:p w14:paraId="063DD7B5" w14:textId="01504AAE" w:rsidR="00D513ED" w:rsidRPr="002D6BC2" w:rsidRDefault="00D513ED" w:rsidP="00D513ED">
            <w:pPr>
              <w:jc w:val="center"/>
              <w:rPr>
                <w:b/>
                <w:bCs/>
                <w:color w:val="4472C4" w:themeColor="accent1"/>
                <w:sz w:val="52"/>
                <w:szCs w:val="52"/>
              </w:rPr>
            </w:pPr>
            <w:r w:rsidRPr="002D6BC2">
              <w:rPr>
                <w:b/>
                <w:bCs/>
                <w:color w:val="4472C4" w:themeColor="accent1"/>
                <w:sz w:val="52"/>
                <w:szCs w:val="52"/>
              </w:rPr>
              <w:t xml:space="preserve">Coût total de l’opération : </w:t>
            </w:r>
          </w:p>
          <w:p w14:paraId="5A70603D" w14:textId="430640F0" w:rsidR="00D513ED" w:rsidRPr="002D6BC2" w:rsidRDefault="00D513ED" w:rsidP="00D513ED">
            <w:pPr>
              <w:jc w:val="center"/>
              <w:rPr>
                <w:b/>
                <w:bCs/>
                <w:sz w:val="48"/>
                <w:szCs w:val="48"/>
              </w:rPr>
            </w:pPr>
            <w:r w:rsidRPr="002D6BC2">
              <w:rPr>
                <w:b/>
                <w:bCs/>
                <w:sz w:val="48"/>
                <w:szCs w:val="48"/>
              </w:rPr>
              <w:t>74 310,19€ HT</w:t>
            </w:r>
          </w:p>
          <w:p w14:paraId="06B8F32F" w14:textId="77777777" w:rsidR="004B53D1" w:rsidRPr="002D6BC2" w:rsidRDefault="004B53D1" w:rsidP="00D513ED">
            <w:pPr>
              <w:jc w:val="center"/>
              <w:rPr>
                <w:b/>
                <w:bCs/>
                <w:sz w:val="48"/>
                <w:szCs w:val="48"/>
              </w:rPr>
            </w:pPr>
          </w:p>
          <w:p w14:paraId="3837485F" w14:textId="3955BD16" w:rsidR="00D513ED" w:rsidRPr="002D6BC2" w:rsidRDefault="00D513ED" w:rsidP="00D513ED">
            <w:pPr>
              <w:jc w:val="center"/>
              <w:rPr>
                <w:sz w:val="48"/>
                <w:szCs w:val="48"/>
              </w:rPr>
            </w:pPr>
            <w:r w:rsidRPr="002D6BC2">
              <w:rPr>
                <w:b/>
                <w:bCs/>
                <w:color w:val="4472C4" w:themeColor="accent1"/>
                <w:sz w:val="48"/>
                <w:szCs w:val="48"/>
              </w:rPr>
              <w:t>Contribution de la commune de</w:t>
            </w:r>
            <w:r w:rsidR="004B53D1" w:rsidRPr="002D6BC2">
              <w:rPr>
                <w:b/>
                <w:bCs/>
                <w:color w:val="4472C4" w:themeColor="accent1"/>
                <w:sz w:val="48"/>
                <w:szCs w:val="48"/>
              </w:rPr>
              <w:br/>
            </w:r>
            <w:r w:rsidRPr="002D6BC2">
              <w:rPr>
                <w:b/>
                <w:bCs/>
                <w:color w:val="4472C4" w:themeColor="accent1"/>
                <w:sz w:val="48"/>
                <w:szCs w:val="48"/>
              </w:rPr>
              <w:t xml:space="preserve"> Saint-Laurent-de-Brèvedent</w:t>
            </w:r>
            <w:r w:rsidRPr="002D6BC2">
              <w:rPr>
                <w:color w:val="4472C4" w:themeColor="accent1"/>
                <w:sz w:val="48"/>
                <w:szCs w:val="48"/>
              </w:rPr>
              <w:t> </w:t>
            </w:r>
            <w:r w:rsidRPr="002D6BC2">
              <w:rPr>
                <w:sz w:val="48"/>
                <w:szCs w:val="48"/>
              </w:rPr>
              <w:t>:</w:t>
            </w:r>
            <w:r w:rsidR="005208BF" w:rsidRPr="002D6BC2">
              <w:rPr>
                <w:sz w:val="48"/>
                <w:szCs w:val="48"/>
              </w:rPr>
              <w:br/>
            </w:r>
            <w:r w:rsidRPr="002D6BC2">
              <w:rPr>
                <w:sz w:val="48"/>
                <w:szCs w:val="48"/>
              </w:rPr>
              <w:t xml:space="preserve"> </w:t>
            </w:r>
            <w:r w:rsidR="00801AD2" w:rsidRPr="002D6BC2">
              <w:rPr>
                <w:b/>
                <w:bCs/>
                <w:sz w:val="48"/>
                <w:szCs w:val="48"/>
              </w:rPr>
              <w:t>26 008,57€ HT</w:t>
            </w:r>
          </w:p>
          <w:p w14:paraId="59CED79A" w14:textId="77777777" w:rsidR="00D513ED" w:rsidRPr="005208BF" w:rsidRDefault="00D513ED" w:rsidP="00D513ED">
            <w:pPr>
              <w:jc w:val="center"/>
              <w:rPr>
                <w:sz w:val="44"/>
                <w:szCs w:val="44"/>
              </w:rPr>
            </w:pPr>
          </w:p>
          <w:p w14:paraId="17F7801F" w14:textId="0AB8F41F" w:rsidR="00D513ED" w:rsidRPr="005208BF" w:rsidRDefault="00D513ED" w:rsidP="005208BF">
            <w:pPr>
              <w:rPr>
                <w:sz w:val="44"/>
                <w:szCs w:val="44"/>
              </w:rPr>
            </w:pPr>
          </w:p>
        </w:tc>
        <w:tc>
          <w:tcPr>
            <w:tcW w:w="7119" w:type="dxa"/>
          </w:tcPr>
          <w:p w14:paraId="6669F1B0" w14:textId="41960775" w:rsidR="002F2F67" w:rsidRPr="002D6BC2" w:rsidRDefault="00D513ED" w:rsidP="002F2F67">
            <w:pPr>
              <w:jc w:val="center"/>
              <w:rPr>
                <w:rStyle w:val="Lienhypertexte"/>
                <w:b/>
                <w:bCs/>
                <w:color w:val="auto"/>
                <w:sz w:val="44"/>
                <w:szCs w:val="44"/>
                <w:u w:val="none"/>
              </w:rPr>
            </w:pPr>
            <w:r w:rsidRPr="002D6BC2">
              <w:rPr>
                <w:b/>
                <w:bCs/>
                <w:color w:val="4472C4" w:themeColor="accent1"/>
                <w:sz w:val="48"/>
                <w:szCs w:val="48"/>
              </w:rPr>
              <w:t xml:space="preserve">Subventions obtenues : </w:t>
            </w:r>
            <w:r w:rsidR="004B53D1" w:rsidRPr="002D6BC2">
              <w:rPr>
                <w:b/>
                <w:bCs/>
                <w:sz w:val="44"/>
                <w:szCs w:val="44"/>
              </w:rPr>
              <w:br/>
            </w:r>
            <w:r w:rsidR="002F2F67" w:rsidRPr="002D6BC2">
              <w:rPr>
                <w:b/>
                <w:bCs/>
                <w:sz w:val="44"/>
                <w:szCs w:val="44"/>
              </w:rPr>
              <w:fldChar w:fldCharType="begin"/>
            </w:r>
            <w:r w:rsidR="002F2F67" w:rsidRPr="002D6BC2">
              <w:rPr>
                <w:b/>
                <w:bCs/>
                <w:sz w:val="44"/>
                <w:szCs w:val="44"/>
              </w:rPr>
              <w:instrText>HYPERLINK "https://www.eure.gouv.fr/Actions-de-l-Etat/Collectivites-locales-Intercommunalite/Finances/Subventions-d-investissement/Dotation-d-equipement-des-territoires-ruraux-D.E.T.R"</w:instrText>
            </w:r>
            <w:r w:rsidR="002F2F67" w:rsidRPr="002D6BC2">
              <w:rPr>
                <w:b/>
                <w:bCs/>
                <w:sz w:val="44"/>
                <w:szCs w:val="44"/>
              </w:rPr>
            </w:r>
            <w:r w:rsidR="002F2F67" w:rsidRPr="002D6BC2">
              <w:rPr>
                <w:b/>
                <w:bCs/>
                <w:sz w:val="44"/>
                <w:szCs w:val="44"/>
              </w:rPr>
              <w:fldChar w:fldCharType="separate"/>
            </w:r>
          </w:p>
          <w:p w14:paraId="0969DD1C" w14:textId="0D8CE004" w:rsidR="002F2F67" w:rsidRPr="002D6BC2" w:rsidRDefault="002F2F67" w:rsidP="002F2F67">
            <w:pPr>
              <w:jc w:val="center"/>
              <w:rPr>
                <w:sz w:val="44"/>
                <w:szCs w:val="44"/>
              </w:rPr>
            </w:pPr>
            <w:r w:rsidRPr="002D6BC2">
              <w:rPr>
                <w:color w:val="4472C4" w:themeColor="accent1"/>
                <w:sz w:val="44"/>
                <w:szCs w:val="44"/>
              </w:rPr>
              <w:t>Dotation d'équipement des territoires ruraux (D.E.T.R.)</w:t>
            </w:r>
            <w:r w:rsidR="004B53D1" w:rsidRPr="002D6BC2">
              <w:rPr>
                <w:color w:val="4472C4" w:themeColor="accent1"/>
                <w:sz w:val="44"/>
                <w:szCs w:val="44"/>
              </w:rPr>
              <w:t> </w:t>
            </w:r>
            <w:r w:rsidR="004B53D1" w:rsidRPr="002D6BC2">
              <w:rPr>
                <w:sz w:val="44"/>
                <w:szCs w:val="44"/>
              </w:rPr>
              <w:t xml:space="preserve">: </w:t>
            </w:r>
            <w:r w:rsidR="005208BF" w:rsidRPr="002D6BC2">
              <w:rPr>
                <w:sz w:val="44"/>
                <w:szCs w:val="44"/>
              </w:rPr>
              <w:br/>
            </w:r>
            <w:r w:rsidR="004B53D1" w:rsidRPr="002D6BC2">
              <w:rPr>
                <w:b/>
                <w:bCs/>
                <w:sz w:val="44"/>
                <w:szCs w:val="44"/>
              </w:rPr>
              <w:t>22 293,06€ HT</w:t>
            </w:r>
            <w:r w:rsidR="004B53D1" w:rsidRPr="002D6BC2">
              <w:rPr>
                <w:b/>
                <w:bCs/>
                <w:sz w:val="44"/>
                <w:szCs w:val="44"/>
              </w:rPr>
              <w:br/>
            </w:r>
            <w:r w:rsidR="004B53D1" w:rsidRPr="002D6BC2">
              <w:rPr>
                <w:b/>
                <w:bCs/>
                <w:sz w:val="44"/>
                <w:szCs w:val="44"/>
              </w:rPr>
              <w:br/>
            </w:r>
            <w:r w:rsidR="004B53D1" w:rsidRPr="002D6BC2">
              <w:rPr>
                <w:color w:val="4472C4" w:themeColor="accent1"/>
                <w:sz w:val="44"/>
                <w:szCs w:val="44"/>
              </w:rPr>
              <w:t>Fonds de concours Le Havre Seine Métropole </w:t>
            </w:r>
            <w:r w:rsidR="004B53D1" w:rsidRPr="002D6BC2">
              <w:rPr>
                <w:sz w:val="44"/>
                <w:szCs w:val="44"/>
              </w:rPr>
              <w:t xml:space="preserve">: </w:t>
            </w:r>
            <w:r w:rsidR="004B53D1" w:rsidRPr="002D6BC2">
              <w:rPr>
                <w:sz w:val="44"/>
                <w:szCs w:val="44"/>
              </w:rPr>
              <w:br/>
            </w:r>
            <w:r w:rsidR="004B53D1" w:rsidRPr="002D6BC2">
              <w:rPr>
                <w:b/>
                <w:bCs/>
                <w:sz w:val="44"/>
                <w:szCs w:val="44"/>
              </w:rPr>
              <w:t>26 008,5</w:t>
            </w:r>
            <w:r w:rsidR="003C086D">
              <w:rPr>
                <w:b/>
                <w:bCs/>
                <w:sz w:val="44"/>
                <w:szCs w:val="44"/>
              </w:rPr>
              <w:t>6</w:t>
            </w:r>
            <w:r w:rsidR="004B53D1" w:rsidRPr="002D6BC2">
              <w:rPr>
                <w:b/>
                <w:bCs/>
                <w:sz w:val="44"/>
                <w:szCs w:val="44"/>
              </w:rPr>
              <w:t>€ HT</w:t>
            </w:r>
          </w:p>
          <w:p w14:paraId="0CFAE089" w14:textId="6112CD89" w:rsidR="00801AD2" w:rsidRPr="005208BF" w:rsidRDefault="002F2F67" w:rsidP="005208BF">
            <w:pPr>
              <w:rPr>
                <w:sz w:val="44"/>
                <w:szCs w:val="44"/>
              </w:rPr>
            </w:pPr>
            <w:r w:rsidRPr="002D6BC2">
              <w:rPr>
                <w:sz w:val="44"/>
                <w:szCs w:val="44"/>
              </w:rPr>
              <w:fldChar w:fldCharType="end"/>
            </w:r>
          </w:p>
        </w:tc>
      </w:tr>
    </w:tbl>
    <w:p w14:paraId="54FD42AA" w14:textId="77777777" w:rsidR="006920A8" w:rsidRDefault="006920A8" w:rsidP="003663B4">
      <w:pPr>
        <w:ind w:right="-567"/>
        <w:rPr>
          <w:sz w:val="32"/>
          <w:szCs w:val="32"/>
        </w:rPr>
      </w:pPr>
    </w:p>
    <w:p w14:paraId="2780DD23" w14:textId="12F35804" w:rsidR="005208BF" w:rsidRPr="00503514" w:rsidRDefault="003663B4" w:rsidP="007F61E6">
      <w:pPr>
        <w:ind w:right="-567" w:hanging="426"/>
        <w:rPr>
          <w:sz w:val="32"/>
          <w:szCs w:val="32"/>
        </w:rPr>
      </w:pPr>
      <w:r>
        <w:rPr>
          <w:noProof/>
        </w:rPr>
        <w:drawing>
          <wp:inline distT="0" distB="0" distL="0" distR="0" wp14:anchorId="73FE7A24" wp14:editId="2A0014F2">
            <wp:extent cx="2228850" cy="2228850"/>
            <wp:effectExtent l="0" t="0" r="0" b="0"/>
            <wp:docPr id="8605361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0" cy="2228850"/>
                    </a:xfrm>
                    <a:prstGeom prst="rect">
                      <a:avLst/>
                    </a:prstGeom>
                    <a:noFill/>
                    <a:ln>
                      <a:noFill/>
                    </a:ln>
                  </pic:spPr>
                </pic:pic>
              </a:graphicData>
            </a:graphic>
          </wp:inline>
        </w:drawing>
      </w:r>
      <w:r>
        <w:rPr>
          <w:sz w:val="32"/>
          <w:szCs w:val="32"/>
        </w:rPr>
        <w:t xml:space="preserve">   </w:t>
      </w:r>
      <w:r>
        <w:rPr>
          <w:noProof/>
        </w:rPr>
        <w:drawing>
          <wp:inline distT="0" distB="0" distL="0" distR="0" wp14:anchorId="72299300" wp14:editId="5931C636">
            <wp:extent cx="2266950" cy="1586865"/>
            <wp:effectExtent l="0" t="0" r="0" b="0"/>
            <wp:docPr id="3616336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3178" cy="1598225"/>
                    </a:xfrm>
                    <a:prstGeom prst="rect">
                      <a:avLst/>
                    </a:prstGeom>
                    <a:noFill/>
                    <a:ln>
                      <a:noFill/>
                    </a:ln>
                  </pic:spPr>
                </pic:pic>
              </a:graphicData>
            </a:graphic>
          </wp:inline>
        </w:drawing>
      </w:r>
      <w:r>
        <w:rPr>
          <w:sz w:val="32"/>
          <w:szCs w:val="32"/>
        </w:rPr>
        <w:t xml:space="preserve">        </w:t>
      </w:r>
      <w:r>
        <w:rPr>
          <w:noProof/>
        </w:rPr>
        <w:drawing>
          <wp:inline distT="0" distB="0" distL="0" distR="0" wp14:anchorId="5A4B3978" wp14:editId="4C2DAE53">
            <wp:extent cx="1809750" cy="1809750"/>
            <wp:effectExtent l="0" t="0" r="0" b="0"/>
            <wp:docPr id="1903499283" name="Image 7" descr="Le Havre Seine Métropol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 Havre Seine Métropole — Wikipé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r>
        <w:rPr>
          <w:sz w:val="32"/>
          <w:szCs w:val="32"/>
        </w:rPr>
        <w:t xml:space="preserve">          </w:t>
      </w:r>
      <w:r>
        <w:rPr>
          <w:noProof/>
          <w:sz w:val="32"/>
          <w:szCs w:val="32"/>
        </w:rPr>
        <w:drawing>
          <wp:inline distT="0" distB="0" distL="0" distR="0" wp14:anchorId="1B95B3C1" wp14:editId="465B94D2">
            <wp:extent cx="1857420" cy="1676400"/>
            <wp:effectExtent l="0" t="0" r="9525" b="0"/>
            <wp:docPr id="82913830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38302" name="Image 829138302"/>
                    <pic:cNvPicPr/>
                  </pic:nvPicPr>
                  <pic:blipFill>
                    <a:blip r:embed="rId14">
                      <a:extLst>
                        <a:ext uri="{28A0092B-C50C-407E-A947-70E740481C1C}">
                          <a14:useLocalDpi xmlns:a14="http://schemas.microsoft.com/office/drawing/2010/main" val="0"/>
                        </a:ext>
                      </a:extLst>
                    </a:blip>
                    <a:stretch>
                      <a:fillRect/>
                    </a:stretch>
                  </pic:blipFill>
                  <pic:spPr>
                    <a:xfrm>
                      <a:off x="0" y="0"/>
                      <a:ext cx="1860594" cy="1679265"/>
                    </a:xfrm>
                    <a:prstGeom prst="rect">
                      <a:avLst/>
                    </a:prstGeom>
                  </pic:spPr>
                </pic:pic>
              </a:graphicData>
            </a:graphic>
          </wp:inline>
        </w:drawing>
      </w:r>
    </w:p>
    <w:sectPr w:rsidR="005208BF" w:rsidRPr="00503514" w:rsidSect="006920A8">
      <w:pgSz w:w="16838" w:h="23811" w:code="8"/>
      <w:pgMar w:top="142" w:right="1529"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tique Olive Roman">
    <w:panose1 w:val="020B0603020204030204"/>
    <w:charset w:val="00"/>
    <w:family w:val="swiss"/>
    <w:pitch w:val="variable"/>
    <w:sig w:usb0="00000003" w:usb1="00000000" w:usb2="00000000" w:usb3="00000000" w:csb0="00000001" w:csb1="00000000"/>
  </w:font>
  <w:font w:name="Albertus Extra Bold">
    <w:panose1 w:val="020E08020403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14"/>
    <w:rsid w:val="000325A1"/>
    <w:rsid w:val="002D6BC2"/>
    <w:rsid w:val="002F2F67"/>
    <w:rsid w:val="003663B4"/>
    <w:rsid w:val="003C086D"/>
    <w:rsid w:val="004B53D1"/>
    <w:rsid w:val="00503514"/>
    <w:rsid w:val="005208BF"/>
    <w:rsid w:val="006920A8"/>
    <w:rsid w:val="007F61E6"/>
    <w:rsid w:val="00801AD2"/>
    <w:rsid w:val="00D513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9DFA"/>
  <w15:chartTrackingRefBased/>
  <w15:docId w15:val="{759EA0AE-F9C3-4974-AC2E-8F6CF1AB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035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5035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50351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50351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50351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0351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351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351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351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351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50351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50351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503514"/>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50351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0351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351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351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3514"/>
    <w:rPr>
      <w:rFonts w:eastAsiaTheme="majorEastAsia" w:cstheme="majorBidi"/>
      <w:color w:val="272727" w:themeColor="text1" w:themeTint="D8"/>
    </w:rPr>
  </w:style>
  <w:style w:type="paragraph" w:styleId="Titre">
    <w:name w:val="Title"/>
    <w:basedOn w:val="Normal"/>
    <w:next w:val="Normal"/>
    <w:link w:val="TitreCar"/>
    <w:uiPriority w:val="10"/>
    <w:qFormat/>
    <w:rsid w:val="00503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35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351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35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3514"/>
    <w:pPr>
      <w:spacing w:before="160"/>
      <w:jc w:val="center"/>
    </w:pPr>
    <w:rPr>
      <w:i/>
      <w:iCs/>
      <w:color w:val="404040" w:themeColor="text1" w:themeTint="BF"/>
    </w:rPr>
  </w:style>
  <w:style w:type="character" w:customStyle="1" w:styleId="CitationCar">
    <w:name w:val="Citation Car"/>
    <w:basedOn w:val="Policepardfaut"/>
    <w:link w:val="Citation"/>
    <w:uiPriority w:val="29"/>
    <w:rsid w:val="00503514"/>
    <w:rPr>
      <w:i/>
      <w:iCs/>
      <w:color w:val="404040" w:themeColor="text1" w:themeTint="BF"/>
    </w:rPr>
  </w:style>
  <w:style w:type="paragraph" w:styleId="Paragraphedeliste">
    <w:name w:val="List Paragraph"/>
    <w:basedOn w:val="Normal"/>
    <w:uiPriority w:val="34"/>
    <w:qFormat/>
    <w:rsid w:val="00503514"/>
    <w:pPr>
      <w:ind w:left="720"/>
      <w:contextualSpacing/>
    </w:pPr>
  </w:style>
  <w:style w:type="character" w:styleId="Accentuationintense">
    <w:name w:val="Intense Emphasis"/>
    <w:basedOn w:val="Policepardfaut"/>
    <w:uiPriority w:val="21"/>
    <w:qFormat/>
    <w:rsid w:val="00503514"/>
    <w:rPr>
      <w:i/>
      <w:iCs/>
      <w:color w:val="2F5496" w:themeColor="accent1" w:themeShade="BF"/>
    </w:rPr>
  </w:style>
  <w:style w:type="paragraph" w:styleId="Citationintense">
    <w:name w:val="Intense Quote"/>
    <w:basedOn w:val="Normal"/>
    <w:next w:val="Normal"/>
    <w:link w:val="CitationintenseCar"/>
    <w:uiPriority w:val="30"/>
    <w:qFormat/>
    <w:rsid w:val="005035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03514"/>
    <w:rPr>
      <w:i/>
      <w:iCs/>
      <w:color w:val="2F5496" w:themeColor="accent1" w:themeShade="BF"/>
    </w:rPr>
  </w:style>
  <w:style w:type="character" w:styleId="Rfrenceintense">
    <w:name w:val="Intense Reference"/>
    <w:basedOn w:val="Policepardfaut"/>
    <w:uiPriority w:val="32"/>
    <w:qFormat/>
    <w:rsid w:val="00503514"/>
    <w:rPr>
      <w:b/>
      <w:bCs/>
      <w:smallCaps/>
      <w:color w:val="2F5496" w:themeColor="accent1" w:themeShade="BF"/>
      <w:spacing w:val="5"/>
    </w:rPr>
  </w:style>
  <w:style w:type="table" w:styleId="Grilledutableau">
    <w:name w:val="Table Grid"/>
    <w:basedOn w:val="TableauNormal"/>
    <w:uiPriority w:val="39"/>
    <w:rsid w:val="00D5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F2F67"/>
    <w:rPr>
      <w:color w:val="0563C1" w:themeColor="hyperlink"/>
      <w:u w:val="single"/>
    </w:rPr>
  </w:style>
  <w:style w:type="character" w:styleId="Mentionnonrsolue">
    <w:name w:val="Unresolved Mention"/>
    <w:basedOn w:val="Policepardfaut"/>
    <w:uiPriority w:val="99"/>
    <w:semiHidden/>
    <w:unhideWhenUsed/>
    <w:rsid w:val="002F2F67"/>
    <w:rPr>
      <w:color w:val="605E5C"/>
      <w:shd w:val="clear" w:color="auto" w:fill="E1DFDD"/>
    </w:rPr>
  </w:style>
  <w:style w:type="character" w:styleId="Lienhypertextesuivivisit">
    <w:name w:val="FollowedHyperlink"/>
    <w:basedOn w:val="Policepardfaut"/>
    <w:uiPriority w:val="99"/>
    <w:semiHidden/>
    <w:unhideWhenUsed/>
    <w:rsid w:val="004B53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sv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D2193-734D-4261-8C17-44543432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174</Words>
  <Characters>960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SLB</dc:creator>
  <cp:keywords/>
  <dc:description/>
  <cp:lastModifiedBy>MAIRIE SLB</cp:lastModifiedBy>
  <cp:revision>8</cp:revision>
  <cp:lastPrinted>2026-01-19T12:56:00Z</cp:lastPrinted>
  <dcterms:created xsi:type="dcterms:W3CDTF">2026-01-19T11:10:00Z</dcterms:created>
  <dcterms:modified xsi:type="dcterms:W3CDTF">2026-01-19T12:59:00Z</dcterms:modified>
</cp:coreProperties>
</file>